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2E" w:rsidRPr="00EF63B3" w:rsidRDefault="001E5A2E" w:rsidP="001E5A2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u w:val="single"/>
          <w:lang w:val="ro-RO"/>
        </w:rPr>
      </w:pPr>
      <w:r w:rsidRPr="00EF63B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val="ro-RO"/>
        </w:rPr>
        <w:t>ANEXA Nr. 19</w:t>
      </w:r>
      <w:r w:rsidR="00C11E59" w:rsidRPr="00EF63B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vertAlign w:val="superscript"/>
          <w:lang w:val="ro-RO"/>
        </w:rPr>
        <w:t>1</w:t>
      </w:r>
      <w:r w:rsidRPr="00EF63B3">
        <w:rPr>
          <w:rFonts w:ascii="Arial" w:eastAsia="Times New Roman" w:hAnsi="Arial" w:cs="Arial"/>
          <w:color w:val="FF0000"/>
          <w:sz w:val="26"/>
          <w:szCs w:val="26"/>
          <w:u w:val="single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u w:val="single"/>
          <w:lang w:val="ro-RO"/>
        </w:rPr>
        <w:br/>
        <w:t xml:space="preserve"> </w:t>
      </w:r>
    </w:p>
    <w:p w:rsidR="001E5A2E" w:rsidRPr="00EF63B3" w:rsidRDefault="001E5A2E" w:rsidP="001E5A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F</w:t>
      </w:r>
      <w:r w:rsidR="00C11E59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ișă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colectivă</w:t>
      </w:r>
      <w:r w:rsidR="00F07455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construcție condominiu bun viitor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br/>
        <w:t xml:space="preserve">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    Carte Funciară Colectivă </w:t>
      </w:r>
      <w:r w:rsidR="00F4226A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bun viitor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Nr . . . . . . . . . . /UAT . . . . . . . . . .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    Descrierea </w:t>
      </w:r>
      <w:r w:rsidR="00593C5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construcției</w:t>
      </w:r>
      <w:r w:rsidR="00F4226A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 viitor</w:t>
      </w:r>
      <w:r w:rsidR="00F07455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……………………………..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Adresa construc</w:t>
      </w:r>
      <w:r w:rsidR="00F4226A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ț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iei</w:t>
      </w:r>
      <w:r w:rsidR="00F4226A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 viitor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: . . . . . . </w:t>
      </w:r>
      <w:r w:rsidR="00F07455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……………………….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    Nr. cadastral: . . . . . . . . . .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    Suprafaţă teren: . . . . . . . . . .  </w:t>
      </w:r>
      <w:r w:rsidR="00CD6BB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tbl>
      <w:tblPr>
        <w:tblW w:w="130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630"/>
        <w:gridCol w:w="630"/>
        <w:gridCol w:w="1230"/>
        <w:gridCol w:w="1170"/>
        <w:gridCol w:w="1290"/>
        <w:gridCol w:w="1440"/>
        <w:gridCol w:w="1620"/>
        <w:gridCol w:w="1683"/>
        <w:gridCol w:w="2410"/>
      </w:tblGrid>
      <w:tr w:rsidR="006B05F1" w:rsidRPr="00EF63B3" w:rsidTr="006B05F1">
        <w:trPr>
          <w:trHeight w:val="1395"/>
          <w:jc w:val="center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bookmarkStart w:id="0" w:name="_GoBack"/>
            <w:bookmarkEnd w:id="0"/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Cod construcție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Scară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Nivel 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790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Nr. unitate individuală bun viitor / spa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ț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iu bun viitor cu altă destinaţie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Cod Unitate individuală bun viitor (UIV)*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F730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Nr. CF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br/>
              <w:t xml:space="preserve">individuală bun viitor*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9B5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Suprafaţa utilă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 proiectată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** UIV - SuUIV- (mp)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8F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Cotă parte indiviză din părţile comune aferente UIV (Cpcv)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8F05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Cotă parte teren aferentă UIV (Cptv)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Obs. </w:t>
            </w: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25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B05F1" w:rsidRPr="00EF63B3" w:rsidRDefault="006B05F1" w:rsidP="0025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B05F1" w:rsidRPr="00EF63B3" w:rsidRDefault="006B05F1" w:rsidP="0025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B05F1" w:rsidRPr="00EF63B3" w:rsidRDefault="006B05F1" w:rsidP="0025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B05F1" w:rsidRPr="00EF63B3" w:rsidRDefault="006B05F1" w:rsidP="002527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sz w:val="17"/>
                <w:szCs w:val="17"/>
                <w:lang w:val="ro-RO"/>
              </w:rPr>
              <w:t>C1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345"/>
          <w:jc w:val="center"/>
        </w:trPr>
        <w:tc>
          <w:tcPr>
            <w:tcW w:w="1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TOTAL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651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EF63B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9D6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EF63B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UiVC</w:t>
            </w:r>
            <w:r w:rsidRPr="00EF63B3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</w:t>
            </w:r>
            <w:r w:rsidRPr="00EF63B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V </w:t>
            </w:r>
            <w:r w:rsidRPr="00EF63B3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/</w:t>
            </w:r>
            <w:r w:rsidRPr="00EF63B3">
              <w:rPr>
                <w:rFonts w:ascii="Arial" w:eastAsia="Times New Roman" w:hAnsi="Arial" w:cs="Arial"/>
                <w:b/>
                <w:lang w:val="ro-RO"/>
              </w:rPr>
              <w:t xml:space="preserve"> </w:t>
            </w:r>
            <w:r w:rsidRPr="00EF63B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total UiVC</w:t>
            </w:r>
            <w:r w:rsidRPr="00EF63B3">
              <w:rPr>
                <w:rFonts w:ascii="Arial" w:eastAsia="Times New Roman" w:hAnsi="Arial" w:cs="Arial"/>
                <w:sz w:val="16"/>
                <w:szCs w:val="16"/>
                <w:lang w:val="ro-RO"/>
              </w:rPr>
              <w:t>1</w:t>
            </w:r>
            <w:r w:rsidRPr="00EF63B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VCnV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B05F1" w:rsidRPr="00EF63B3" w:rsidTr="006B05F1">
        <w:trPr>
          <w:trHeight w:val="555"/>
          <w:jc w:val="center"/>
        </w:trPr>
        <w:tc>
          <w:tcPr>
            <w:tcW w:w="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Descriere părţi comune indivize </w:t>
            </w:r>
          </w:p>
        </w:tc>
        <w:tc>
          <w:tcPr>
            <w:tcW w:w="108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(Ex. intrare, casa scării, subsol tehnic, spălătorie, uscătorie, ghenă gunoi, pod, acoperiş, terenul construit şi neconstruit, etc.) </w:t>
            </w:r>
          </w:p>
        </w:tc>
      </w:tr>
      <w:tr w:rsidR="006B05F1" w:rsidRPr="00EF63B3" w:rsidTr="006B05F1">
        <w:trPr>
          <w:trHeight w:val="360"/>
          <w:jc w:val="center"/>
        </w:trPr>
        <w:tc>
          <w:tcPr>
            <w:tcW w:w="73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BD1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Întocmit (semnătură</w:t>
            </w:r>
            <w:r w:rsidRPr="00EF63B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electronică calificată)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br/>
              <w:t xml:space="preserve">Data . . . . . . . . . . </w:t>
            </w:r>
          </w:p>
        </w:tc>
        <w:tc>
          <w:tcPr>
            <w:tcW w:w="5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B05F1" w:rsidRPr="00EF63B3" w:rsidRDefault="006B05F1" w:rsidP="001E5A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</w:pP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>Recepţionat (semnătură</w:t>
            </w:r>
            <w:r w:rsidRPr="00EF63B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Pr="00EF63B3">
              <w:rPr>
                <w:rFonts w:ascii="Arial" w:eastAsia="Times New Roman" w:hAnsi="Arial" w:cs="Arial"/>
                <w:color w:val="000000"/>
                <w:sz w:val="17"/>
                <w:szCs w:val="17"/>
                <w:lang w:val="ro-RO"/>
              </w:rPr>
              <w:t xml:space="preserve">electronică calificată) </w:t>
            </w:r>
          </w:p>
        </w:tc>
      </w:tr>
    </w:tbl>
    <w:p w:rsidR="007A7C4D" w:rsidRPr="00EF63B3" w:rsidRDefault="007A7C4D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p w:rsidR="001E5A2E" w:rsidRPr="00EF63B3" w:rsidRDefault="00CD6BBC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Nr. total construcții pe imobil ….</w:t>
      </w:r>
    </w:p>
    <w:p w:rsidR="00CD6BBC" w:rsidRPr="00EF63B3" w:rsidRDefault="00AC0121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vertAlign w:val="superscript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CD6BB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Nr. total unități individuale pe imobil</w:t>
      </w:r>
      <w:r w:rsidR="00CD6BBC" w:rsidRPr="00EF63B3">
        <w:rPr>
          <w:rFonts w:ascii="Arial" w:eastAsia="Times New Roman" w:hAnsi="Arial" w:cs="Arial"/>
          <w:color w:val="000000"/>
          <w:sz w:val="26"/>
          <w:szCs w:val="26"/>
          <w:vertAlign w:val="superscript"/>
          <w:lang w:val="ro-RO"/>
        </w:rPr>
        <w:t>***</w:t>
      </w:r>
    </w:p>
    <w:p w:rsidR="001E5A2E" w:rsidRPr="00EF63B3" w:rsidRDefault="001E5A2E" w:rsidP="001E5A2E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</w:t>
      </w:r>
      <w:r w:rsidRPr="00EF63B3">
        <w:rPr>
          <w:rFonts w:ascii="Arial" w:eastAsia="Times New Roman" w:hAnsi="Arial" w:cs="Arial"/>
          <w:b/>
          <w:bCs/>
          <w:color w:val="2E8B57"/>
          <w:sz w:val="26"/>
          <w:szCs w:val="26"/>
          <w:lang w:val="ro-RO"/>
        </w:rPr>
        <w:t>NOTĂ: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b/>
          <w:bCs/>
          <w:color w:val="C0C0C0"/>
          <w:sz w:val="26"/>
          <w:szCs w:val="26"/>
          <w:lang w:val="ro-RO"/>
        </w:rPr>
        <w:t>-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* se completează de către inspector/registrator  </w:t>
      </w:r>
    </w:p>
    <w:p w:rsidR="00E27771" w:rsidRPr="00EF63B3" w:rsidRDefault="00E27771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b/>
          <w:bCs/>
          <w:color w:val="C0C0C0"/>
          <w:sz w:val="26"/>
          <w:szCs w:val="26"/>
          <w:lang w:val="ro-RO"/>
        </w:rPr>
        <w:t xml:space="preserve">-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**</w:t>
      </w:r>
      <w:r w:rsidR="001671F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conform informațiilor din documentația tehnică aferentă autorizației de construire</w:t>
      </w:r>
    </w:p>
    <w:p w:rsidR="00AC0121" w:rsidRPr="00EF63B3" w:rsidRDefault="00AC0121" w:rsidP="00AC01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b/>
          <w:bCs/>
          <w:color w:val="C0C0C0"/>
          <w:sz w:val="26"/>
          <w:szCs w:val="26"/>
          <w:lang w:val="ro-RO"/>
        </w:rPr>
        <w:t>-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***</w:t>
      </w:r>
      <w:r w:rsidRPr="00EF63B3">
        <w:rPr>
          <w:rFonts w:ascii="Arial" w:eastAsia="Times New Roman" w:hAnsi="Arial" w:cs="Arial"/>
          <w:color w:val="000000"/>
          <w:sz w:val="26"/>
          <w:szCs w:val="26"/>
          <w:vertAlign w:val="superscript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la numărul total al unităților individuale se iau în calcul și </w:t>
      </w:r>
      <w:r w:rsidR="00D91781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locurile de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parc</w:t>
      </w:r>
      <w:r w:rsidR="00D91781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are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situate în </w:t>
      </w:r>
      <w:r w:rsidR="00C33760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interiorul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construcțiil</w:t>
      </w:r>
      <w:r w:rsidR="00C33760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condominiu</w:t>
      </w:r>
      <w:r w:rsidR="00D91781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, precum și cele amenajate la suprafața solului care, potrivit autorizației de construire, sunt incluse în suprafața construită la sol a construcției condominiu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– asimilate unităților individuale și dacă este cazul construcțiile individuale de pe imobil</w:t>
      </w:r>
    </w:p>
    <w:p w:rsidR="00C22179" w:rsidRPr="00EF63B3" w:rsidRDefault="00C22179" w:rsidP="00AC01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p w:rsidR="00C22179" w:rsidRPr="00EF63B3" w:rsidRDefault="00C22179" w:rsidP="00AC01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p w:rsidR="00AC0121" w:rsidRPr="00EF63B3" w:rsidRDefault="00AC0121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b/>
          <w:bCs/>
          <w:color w:val="C0C0C0"/>
          <w:sz w:val="26"/>
          <w:szCs w:val="26"/>
          <w:lang w:val="ro-RO"/>
        </w:rPr>
        <w:t>-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1671F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cotele-părţi comune se vor calcula pentru fiecare UI</w:t>
      </w:r>
      <w:r w:rsidR="008F05F9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, astfel:  </w:t>
      </w:r>
    </w:p>
    <w:p w:rsidR="005C0205" w:rsidRPr="00EF63B3" w:rsidRDefault="005C0205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</w:t>
      </w:r>
      <w:r w:rsidRPr="00EF63B3">
        <w:rPr>
          <w:rFonts w:ascii="Arial" w:eastAsia="Times New Roman" w:hAnsi="Arial" w:cs="Arial"/>
          <w:b/>
          <w:bCs/>
          <w:color w:val="000000"/>
          <w:sz w:val="26"/>
          <w:szCs w:val="26"/>
          <w:lang w:val="ro-RO"/>
        </w:rPr>
        <w:t>•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pentru construcţie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 viitor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: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Cpc</w:t>
      </w:r>
      <w:r w:rsidR="0066275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= Su</w:t>
      </w:r>
      <w:r w:rsidR="005323D8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UIV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/Stu</w:t>
      </w:r>
      <w:r w:rsidR="005323D8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UIV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, unde: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Cpc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- cota-parte indiviză de proprietate reprezintă raportul dintre suprafaţa utilă</w:t>
      </w:r>
      <w:r w:rsidR="00A57C7F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proiectată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a </w:t>
      </w:r>
      <w:r w:rsidR="001671F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unității individuale 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bun viitor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sau a spaţiului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 viitor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cu altă destinaţie decât aceea de locuinţă şi suma suprafeţelor utile</w:t>
      </w:r>
      <w:r w:rsidR="00A57C7F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proiectate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ale tuturor apartamentelor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bunuri viitoare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şi spaţiilor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bunuri viitoare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cu altă destinaţie decât aceea de locuinţă din condominiu.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Su</w:t>
      </w:r>
      <w:r w:rsidR="005323D8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UIV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083FF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–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suprafa</w:t>
      </w:r>
      <w:r w:rsidR="00083FF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ță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util</w:t>
      </w:r>
      <w:r w:rsidR="00083FF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ă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A57C7F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proiectată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UI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="005A38E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;  </w:t>
      </w:r>
    </w:p>
    <w:p w:rsidR="005323D8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Stu</w:t>
      </w:r>
      <w:r w:rsidR="005323D8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UIV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–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suma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suprafe</w:t>
      </w:r>
      <w:r w:rsidR="00083FF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ț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elor utile</w:t>
      </w:r>
      <w:r w:rsidR="00A57C7F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proiectate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ale tuturor UI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din construcția condominiu respectivă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.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</w:t>
      </w:r>
      <w:r w:rsidRPr="00EF63B3">
        <w:rPr>
          <w:rFonts w:ascii="Arial" w:eastAsia="Times New Roman" w:hAnsi="Arial" w:cs="Arial"/>
          <w:b/>
          <w:bCs/>
          <w:color w:val="000000"/>
          <w:sz w:val="26"/>
          <w:szCs w:val="26"/>
          <w:lang w:val="ro-RO"/>
        </w:rPr>
        <w:t>•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pentru teren:  </w:t>
      </w:r>
    </w:p>
    <w:p w:rsidR="001E5A2E" w:rsidRPr="00EF63B3" w:rsidRDefault="001E5A2E" w:rsidP="006C4C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Cpt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=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(1</w:t>
      </w:r>
      <w:r w:rsidR="007C77F6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7106DD" w:rsidRPr="00EF63B3">
        <w:rPr>
          <w:rFonts w:ascii="Arial" w:eastAsia="Times New Roman" w:hAnsi="Arial" w:cs="Arial"/>
          <w:color w:val="000000"/>
          <w:sz w:val="32"/>
          <w:szCs w:val="32"/>
          <w:lang w:val="ro-RO"/>
        </w:rPr>
        <w:t>/</w:t>
      </w:r>
      <w:r w:rsidR="007C77F6" w:rsidRPr="00EF63B3">
        <w:rPr>
          <w:rFonts w:ascii="Arial" w:eastAsia="Times New Roman" w:hAnsi="Arial" w:cs="Arial"/>
          <w:color w:val="000000"/>
          <w:sz w:val="32"/>
          <w:szCs w:val="32"/>
          <w:lang w:val="ro-RO"/>
        </w:rPr>
        <w:t xml:space="preserve">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nr</w:t>
      </w:r>
      <w:r w:rsidR="00A57C7F">
        <w:rPr>
          <w:rFonts w:ascii="Arial" w:eastAsia="Times New Roman" w:hAnsi="Arial" w:cs="Arial"/>
          <w:color w:val="000000"/>
          <w:sz w:val="26"/>
          <w:szCs w:val="26"/>
          <w:lang w:val="ro-RO"/>
        </w:rPr>
        <w:t>.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total Ui</w:t>
      </w:r>
      <w:r w:rsidR="00D30A8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</w:t>
      </w:r>
      <w:r w:rsidR="007106DD" w:rsidRPr="00EF63B3">
        <w:rPr>
          <w:rFonts w:ascii="Arial" w:eastAsia="Times New Roman" w:hAnsi="Arial" w:cs="Arial"/>
          <w:color w:val="000000"/>
          <w:sz w:val="20"/>
          <w:szCs w:val="20"/>
          <w:lang w:val="ro-RO"/>
        </w:rPr>
        <w:t>1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V…CnV)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x St,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br/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Cpt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- cota parte teren aferent</w:t>
      </w:r>
      <w:r w:rsidR="00C33760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ă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fiecărui UI</w:t>
      </w:r>
      <w:r w:rsidR="003D0E9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;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  </w:t>
      </w:r>
    </w:p>
    <w:p w:rsidR="001E5A2E" w:rsidRPr="00EF63B3" w:rsidRDefault="001E5A2E" w:rsidP="001E5A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  St - suprafaţă totală de teren aferent</w:t>
      </w:r>
      <w:r w:rsidR="00C33760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ă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tuturor construcţiilor </w:t>
      </w:r>
      <w:r w:rsidR="00F66CE1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bun viitor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de pe imobil</w:t>
      </w: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;  </w:t>
      </w:r>
    </w:p>
    <w:p w:rsidR="000E2481" w:rsidRPr="00EF63B3" w:rsidRDefault="001E5A2E" w:rsidP="004D09B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  </w:t>
      </w:r>
      <w:r w:rsidR="00AC0121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nr. Ui</w:t>
      </w:r>
      <w:r w:rsidR="00D30A8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C</w:t>
      </w:r>
      <w:r w:rsidR="007106DD" w:rsidRPr="00EF63B3">
        <w:rPr>
          <w:rFonts w:ascii="Arial" w:eastAsia="Times New Roman" w:hAnsi="Arial" w:cs="Arial"/>
          <w:color w:val="000000"/>
          <w:sz w:val="20"/>
          <w:szCs w:val="20"/>
          <w:lang w:val="ro-RO"/>
        </w:rPr>
        <w:t>1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V…CnV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- numărul total al unităților individuale bunuri viitoare din toate construcțiile viitoare C</w:t>
      </w:r>
      <w:r w:rsidR="007106DD" w:rsidRPr="00EF63B3">
        <w:rPr>
          <w:rFonts w:ascii="Arial" w:eastAsia="Times New Roman" w:hAnsi="Arial" w:cs="Arial"/>
          <w:color w:val="000000"/>
          <w:sz w:val="20"/>
          <w:szCs w:val="20"/>
          <w:lang w:val="ro-RO"/>
        </w:rPr>
        <w:t>1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V….CnV de </w:t>
      </w:r>
      <w:r w:rsidR="00AC0121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      </w:t>
      </w:r>
      <w:r w:rsidR="007106DD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pe imobil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;</w:t>
      </w:r>
    </w:p>
    <w:p w:rsidR="001E5A2E" w:rsidRPr="00EF63B3" w:rsidRDefault="00AC0121" w:rsidP="00CD6BBC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val="ro-RO"/>
        </w:rPr>
      </w:pPr>
      <w:r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 xml:space="preserve">    </w:t>
      </w:r>
      <w:r w:rsidR="00CD6BBC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n - numărul construcțiilor bun viitor de pe imobil</w:t>
      </w:r>
      <w:r w:rsidR="001031CF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, care pot fi construcții condominiu sau construcții individuale</w:t>
      </w:r>
      <w:r w:rsidR="00FF07DB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t>.</w:t>
      </w:r>
      <w:r w:rsidR="001E5A2E" w:rsidRPr="00EF63B3">
        <w:rPr>
          <w:rFonts w:ascii="Arial" w:eastAsia="Times New Roman" w:hAnsi="Arial" w:cs="Arial"/>
          <w:color w:val="000000"/>
          <w:sz w:val="26"/>
          <w:szCs w:val="26"/>
          <w:lang w:val="ro-RO"/>
        </w:rPr>
        <w:br/>
      </w:r>
    </w:p>
    <w:p w:rsidR="00DB3020" w:rsidRPr="00EF63B3" w:rsidRDefault="006B05F1" w:rsidP="00CD6BBC">
      <w:pPr>
        <w:rPr>
          <w:lang w:val="ro-RO"/>
        </w:rPr>
      </w:pPr>
    </w:p>
    <w:sectPr w:rsidR="00DB3020" w:rsidRPr="00EF63B3" w:rsidSect="002527BA">
      <w:pgSz w:w="15840" w:h="12240" w:orient="landscape"/>
      <w:pgMar w:top="709" w:right="814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2E"/>
    <w:rsid w:val="0007557F"/>
    <w:rsid w:val="00083FFB"/>
    <w:rsid w:val="000E2481"/>
    <w:rsid w:val="001031CF"/>
    <w:rsid w:val="001671F6"/>
    <w:rsid w:val="00170526"/>
    <w:rsid w:val="001A35E4"/>
    <w:rsid w:val="001D417F"/>
    <w:rsid w:val="001E5A2E"/>
    <w:rsid w:val="001F082F"/>
    <w:rsid w:val="00234355"/>
    <w:rsid w:val="002527BA"/>
    <w:rsid w:val="00261D63"/>
    <w:rsid w:val="0031373F"/>
    <w:rsid w:val="003D0E9D"/>
    <w:rsid w:val="00433FAC"/>
    <w:rsid w:val="004D09B0"/>
    <w:rsid w:val="004E3916"/>
    <w:rsid w:val="005323D8"/>
    <w:rsid w:val="00593C56"/>
    <w:rsid w:val="005A38E6"/>
    <w:rsid w:val="005C0205"/>
    <w:rsid w:val="00617AF7"/>
    <w:rsid w:val="00651942"/>
    <w:rsid w:val="0066275C"/>
    <w:rsid w:val="00695CA9"/>
    <w:rsid w:val="006B05F1"/>
    <w:rsid w:val="006C14DD"/>
    <w:rsid w:val="006C1C17"/>
    <w:rsid w:val="006C473E"/>
    <w:rsid w:val="006C4C72"/>
    <w:rsid w:val="007106DD"/>
    <w:rsid w:val="00713836"/>
    <w:rsid w:val="00764D86"/>
    <w:rsid w:val="00774D84"/>
    <w:rsid w:val="00790814"/>
    <w:rsid w:val="007A7C4D"/>
    <w:rsid w:val="007C77F6"/>
    <w:rsid w:val="00811C27"/>
    <w:rsid w:val="00825E24"/>
    <w:rsid w:val="008B04B6"/>
    <w:rsid w:val="008F05F9"/>
    <w:rsid w:val="00942F56"/>
    <w:rsid w:val="009653A7"/>
    <w:rsid w:val="00994E44"/>
    <w:rsid w:val="009B54C5"/>
    <w:rsid w:val="009D66BC"/>
    <w:rsid w:val="009E1DD7"/>
    <w:rsid w:val="00A25F89"/>
    <w:rsid w:val="00A324DF"/>
    <w:rsid w:val="00A57C7F"/>
    <w:rsid w:val="00A63C35"/>
    <w:rsid w:val="00AC0121"/>
    <w:rsid w:val="00B843D5"/>
    <w:rsid w:val="00B93F3D"/>
    <w:rsid w:val="00BD1809"/>
    <w:rsid w:val="00BD581A"/>
    <w:rsid w:val="00C11E59"/>
    <w:rsid w:val="00C22179"/>
    <w:rsid w:val="00C33760"/>
    <w:rsid w:val="00CD6BBC"/>
    <w:rsid w:val="00CE2C6A"/>
    <w:rsid w:val="00D2350C"/>
    <w:rsid w:val="00D30A8C"/>
    <w:rsid w:val="00D91781"/>
    <w:rsid w:val="00E233CF"/>
    <w:rsid w:val="00E27771"/>
    <w:rsid w:val="00EF63B3"/>
    <w:rsid w:val="00F07455"/>
    <w:rsid w:val="00F24E4A"/>
    <w:rsid w:val="00F4226A"/>
    <w:rsid w:val="00F66CE1"/>
    <w:rsid w:val="00F7305B"/>
    <w:rsid w:val="00F81F37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BAB31-E166-4AC0-934E-236B45B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A2E"/>
    <w:rPr>
      <w:color w:val="0000FF"/>
      <w:u w:val="single"/>
    </w:rPr>
  </w:style>
  <w:style w:type="character" w:customStyle="1" w:styleId="l5def2">
    <w:name w:val="l5def2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1E5A2E"/>
    <w:rPr>
      <w:rFonts w:ascii="Arial" w:hAnsi="Arial" w:cs="Arial" w:hint="default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7D8CB-A955-48CF-83FE-FBD03D4A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BALAN</dc:creator>
  <cp:keywords/>
  <dc:description/>
  <cp:lastModifiedBy>Ovidiu STAICU</cp:lastModifiedBy>
  <cp:revision>5</cp:revision>
  <cp:lastPrinted>2026-02-02T11:16:00Z</cp:lastPrinted>
  <dcterms:created xsi:type="dcterms:W3CDTF">2026-02-25T09:30:00Z</dcterms:created>
  <dcterms:modified xsi:type="dcterms:W3CDTF">2026-03-10T08:29:00Z</dcterms:modified>
</cp:coreProperties>
</file>